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D45618" w:rsidP="00F86BC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C12F6C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C12F6C">
              <w:t>178.15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D45618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141234" w:rsidRDefault="00433883" w:rsidP="00C12F6C">
            <w:pPr>
              <w:jc w:val="right"/>
              <w:rPr>
                <w:i/>
              </w:rPr>
            </w:pPr>
            <w:r w:rsidRPr="00F86BC1">
              <w:rPr>
                <w:i/>
              </w:rPr>
              <w:t xml:space="preserve">Thái Bình, ngày </w:t>
            </w:r>
            <w:r w:rsidR="00C12F6C">
              <w:rPr>
                <w:i/>
              </w:rPr>
              <w:t>02</w:t>
            </w:r>
            <w:r w:rsidRPr="00F86BC1">
              <w:rPr>
                <w:i/>
              </w:rPr>
              <w:t xml:space="preserve"> tháng </w:t>
            </w:r>
            <w:r w:rsidR="00C12F6C">
              <w:rPr>
                <w:i/>
              </w:rPr>
              <w:t>06</w:t>
            </w:r>
            <w:r w:rsidRPr="00F86BC1">
              <w:rPr>
                <w:i/>
              </w:rPr>
              <w:t xml:space="preserve"> năm 201</w:t>
            </w:r>
            <w:r w:rsidR="003717C0">
              <w:rPr>
                <w:i/>
              </w:rPr>
              <w:t>5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3F723B" w:rsidRDefault="00E42ACA" w:rsidP="003F723B">
      <w:pPr>
        <w:spacing w:before="60"/>
        <w:jc w:val="center"/>
        <w:rPr>
          <w:b/>
        </w:rPr>
      </w:pPr>
      <w:r>
        <w:rPr>
          <w:b/>
        </w:rPr>
        <w:t>H</w:t>
      </w:r>
      <w:r w:rsidRPr="00E42ACA">
        <w:rPr>
          <w:b/>
        </w:rPr>
        <w:t>Ộ</w:t>
      </w:r>
      <w:r>
        <w:rPr>
          <w:b/>
        </w:rPr>
        <w:t xml:space="preserve">I </w:t>
      </w:r>
      <w:r w:rsidRPr="00E42ACA">
        <w:rPr>
          <w:b/>
        </w:rPr>
        <w:t>ĐỒNG</w:t>
      </w:r>
      <w:r>
        <w:rPr>
          <w:b/>
        </w:rPr>
        <w:t xml:space="preserve"> QU</w:t>
      </w:r>
      <w:r w:rsidRPr="00E42ACA">
        <w:rPr>
          <w:b/>
        </w:rPr>
        <w:t>ẢN</w:t>
      </w:r>
      <w:r>
        <w:rPr>
          <w:b/>
        </w:rPr>
        <w:t xml:space="preserve"> TR</w:t>
      </w:r>
      <w:r w:rsidRPr="00E42ACA">
        <w:rPr>
          <w:b/>
        </w:rPr>
        <w:t>Ị</w:t>
      </w:r>
      <w:r w:rsidR="003F723B">
        <w:rPr>
          <w:b/>
        </w:rPr>
        <w:t xml:space="preserve"> C</w:t>
      </w:r>
      <w:r w:rsidR="003F723B" w:rsidRPr="003F723B">
        <w:rPr>
          <w:b/>
        </w:rPr>
        <w:t>Ô</w:t>
      </w:r>
      <w:r w:rsidR="003F723B">
        <w:rPr>
          <w:b/>
        </w:rPr>
        <w:t>NG TY C</w:t>
      </w:r>
      <w:r w:rsidR="003F723B" w:rsidRPr="003F723B">
        <w:rPr>
          <w:b/>
        </w:rPr>
        <w:t>Ổ</w:t>
      </w:r>
      <w:r w:rsidR="003F723B">
        <w:rPr>
          <w:b/>
        </w:rPr>
        <w:t xml:space="preserve"> PH</w:t>
      </w:r>
      <w:r w:rsidR="003F723B" w:rsidRPr="003F723B">
        <w:rPr>
          <w:b/>
        </w:rPr>
        <w:t>ẦN</w:t>
      </w:r>
      <w:r w:rsidR="003F723B">
        <w:rPr>
          <w:b/>
        </w:rPr>
        <w:t xml:space="preserve"> HO</w:t>
      </w:r>
      <w:r w:rsidR="003F723B" w:rsidRPr="003F723B">
        <w:rPr>
          <w:b/>
        </w:rPr>
        <w:t>ÀNG</w:t>
      </w:r>
      <w:r w:rsidR="003F723B">
        <w:rPr>
          <w:b/>
        </w:rPr>
        <w:t xml:space="preserve"> H</w:t>
      </w:r>
      <w:r w:rsidR="003F723B" w:rsidRPr="003F723B">
        <w:rPr>
          <w:b/>
        </w:rPr>
        <w:t>À</w:t>
      </w:r>
    </w:p>
    <w:p w:rsidR="00E42ACA" w:rsidRDefault="00F07160" w:rsidP="00E42ACA">
      <w:pPr>
        <w:jc w:val="center"/>
        <w:rPr>
          <w:i/>
        </w:rPr>
      </w:pPr>
      <w:r>
        <w:rPr>
          <w:i/>
        </w:rPr>
        <w:t>"</w:t>
      </w:r>
      <w:r w:rsidR="00E42ACA" w:rsidRPr="00E42ACA">
        <w:rPr>
          <w:i/>
        </w:rPr>
        <w:t xml:space="preserve">Về việc </w:t>
      </w:r>
      <w:r w:rsidR="00F66585">
        <w:rPr>
          <w:i/>
        </w:rPr>
        <w:t>niêm yết bổ sung 3.000.000 cổ phiếu Công ty Cổ phần Hoàng Hà trên Sở giao dịch chứng khoán Hà Nội (HNX)</w:t>
      </w:r>
      <w:r w:rsidR="00E42ACA" w:rsidRPr="00E42ACA">
        <w:rPr>
          <w:i/>
        </w:rPr>
        <w:t>"</w:t>
      </w:r>
    </w:p>
    <w:p w:rsidR="003F723B" w:rsidRDefault="003F723B" w:rsidP="00E42ACA">
      <w:pPr>
        <w:jc w:val="center"/>
        <w:rPr>
          <w:i/>
        </w:rPr>
      </w:pPr>
    </w:p>
    <w:p w:rsidR="003F723B" w:rsidRPr="003F723B" w:rsidRDefault="003F723B" w:rsidP="009229E6">
      <w:pPr>
        <w:spacing w:after="120"/>
        <w:jc w:val="center"/>
        <w:rPr>
          <w:b/>
        </w:rPr>
      </w:pPr>
      <w:r w:rsidRPr="003F723B">
        <w:rPr>
          <w:b/>
        </w:rPr>
        <w:t>HỘI ĐỒNG QUẢN TRỊ</w:t>
      </w:r>
    </w:p>
    <w:p w:rsidR="00E42ACA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9F6054">
            <w:rPr>
              <w:i/>
              <w:sz w:val="26"/>
              <w:szCs w:val="26"/>
            </w:rPr>
            <w:t>Nam</w:t>
          </w:r>
        </w:smartTag>
      </w:smartTag>
      <w:r w:rsidRPr="009F6054">
        <w:rPr>
          <w:i/>
          <w:sz w:val="26"/>
          <w:szCs w:val="26"/>
        </w:rPr>
        <w:t xml:space="preserve"> thông qua ngày 29/11/2005.</w:t>
      </w:r>
    </w:p>
    <w:p w:rsidR="00F66585" w:rsidRDefault="00F66585" w:rsidP="003E5280">
      <w:pPr>
        <w:spacing w:line="360" w:lineRule="exact"/>
        <w:jc w:val="both"/>
        <w:rPr>
          <w:i/>
          <w:sz w:val="24"/>
          <w:lang w:val="pt-BR"/>
        </w:rPr>
      </w:pPr>
      <w:r>
        <w:rPr>
          <w:i/>
          <w:sz w:val="26"/>
          <w:szCs w:val="26"/>
        </w:rPr>
        <w:t>- Căn cứ Luật Chứng khoán</w:t>
      </w:r>
      <w:r w:rsidRPr="00F66585">
        <w:rPr>
          <w:i/>
          <w:sz w:val="24"/>
          <w:lang w:val="pt-BR"/>
        </w:rPr>
        <w:t xml:space="preserve"> </w:t>
      </w:r>
      <w:r w:rsidRPr="0032446E">
        <w:rPr>
          <w:i/>
          <w:sz w:val="24"/>
          <w:lang w:val="pt-BR"/>
        </w:rPr>
        <w:t>số 70/2006/QH11 ngày 29 tháng 06 năm 2006 của Quốc hội;</w:t>
      </w:r>
    </w:p>
    <w:p w:rsidR="00F66585" w:rsidRPr="00F66585" w:rsidRDefault="00F66585" w:rsidP="00F66585">
      <w:pPr>
        <w:spacing w:line="360" w:lineRule="exac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66585">
        <w:rPr>
          <w:i/>
          <w:sz w:val="26"/>
          <w:szCs w:val="26"/>
        </w:rPr>
        <w:t>Căn cứ Luật sửa đổi, bổ sung một số điều của Luật Chứng khoán số 62/2010/QH12 ngày 24 tháng 11 năm 2010;</w:t>
      </w:r>
    </w:p>
    <w:p w:rsidR="00593A5F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>- Căn cứ Điều lệ tổ chức và hoạt động của Công ty Cổ phần Hoà</w:t>
      </w:r>
      <w:r w:rsidR="00F66585">
        <w:rPr>
          <w:i/>
          <w:sz w:val="26"/>
          <w:szCs w:val="26"/>
        </w:rPr>
        <w:t>ng Hà;</w:t>
      </w:r>
    </w:p>
    <w:p w:rsidR="00F66585" w:rsidRPr="009F6054" w:rsidRDefault="00F66585" w:rsidP="003E5280">
      <w:pPr>
        <w:spacing w:line="360" w:lineRule="exac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Căn cứ Nghị Quuyết ĐHĐCĐ số 32.15/NQ-ĐHĐCĐ ngày 31/01/2015;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</w:t>
      </w:r>
      <w:r w:rsidR="003F723B" w:rsidRPr="009F6054">
        <w:rPr>
          <w:i/>
          <w:sz w:val="26"/>
          <w:szCs w:val="26"/>
        </w:rPr>
        <w:t xml:space="preserve">Biên bản họp HĐQT số </w:t>
      </w:r>
      <w:r w:rsidR="00C12F6C">
        <w:rPr>
          <w:i/>
          <w:sz w:val="26"/>
          <w:szCs w:val="26"/>
        </w:rPr>
        <w:t>177.15</w:t>
      </w:r>
      <w:r w:rsidR="00F66585">
        <w:rPr>
          <w:i/>
          <w:sz w:val="26"/>
          <w:szCs w:val="26"/>
        </w:rPr>
        <w:t>/</w:t>
      </w:r>
      <w:r w:rsidR="003F723B" w:rsidRPr="009F6054">
        <w:rPr>
          <w:i/>
          <w:sz w:val="26"/>
          <w:szCs w:val="26"/>
        </w:rPr>
        <w:t xml:space="preserve">BB-HĐQT ngày </w:t>
      </w:r>
      <w:r w:rsidR="00C12F6C">
        <w:rPr>
          <w:i/>
          <w:sz w:val="26"/>
          <w:szCs w:val="26"/>
        </w:rPr>
        <w:t>02/6</w:t>
      </w:r>
      <w:r w:rsidR="003F723B" w:rsidRPr="009F6054">
        <w:rPr>
          <w:i/>
          <w:sz w:val="26"/>
          <w:szCs w:val="26"/>
        </w:rPr>
        <w:t>/201</w:t>
      </w:r>
      <w:r w:rsidR="00943FC4">
        <w:rPr>
          <w:i/>
          <w:sz w:val="26"/>
          <w:szCs w:val="26"/>
        </w:rPr>
        <w:t>5</w:t>
      </w:r>
      <w:r w:rsidR="00F66585">
        <w:rPr>
          <w:i/>
          <w:sz w:val="26"/>
          <w:szCs w:val="26"/>
        </w:rPr>
        <w:t>.</w:t>
      </w:r>
    </w:p>
    <w:p w:rsidR="003F723B" w:rsidRDefault="003F723B" w:rsidP="009229E6">
      <w:pPr>
        <w:keepNext/>
        <w:spacing w:before="120" w:after="24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4E427C" w:rsidRDefault="00545459" w:rsidP="00563AE5">
      <w:pPr>
        <w:spacing w:before="120" w:after="120" w:line="400" w:lineRule="exact"/>
        <w:jc w:val="both"/>
      </w:pPr>
      <w:smartTag w:uri="urn:schemas:contacts" w:element="Sn">
        <w:r w:rsidRPr="00545459">
          <w:rPr>
            <w:b/>
          </w:rPr>
          <w:t>Đ</w:t>
        </w:r>
        <w:r>
          <w:rPr>
            <w:b/>
          </w:rPr>
          <w:t>i</w:t>
        </w:r>
        <w:r w:rsidRPr="00545459">
          <w:rPr>
            <w:b/>
          </w:rPr>
          <w:t>ều</w:t>
        </w:r>
      </w:smartTag>
      <w:r>
        <w:rPr>
          <w:b/>
        </w:rPr>
        <w:t xml:space="preserve"> </w:t>
      </w:r>
      <w:r w:rsidR="00D52F46">
        <w:rPr>
          <w:b/>
        </w:rPr>
        <w:t>1</w:t>
      </w:r>
      <w:r w:rsidR="00A823F4">
        <w:rPr>
          <w:b/>
        </w:rPr>
        <w:t xml:space="preserve">. </w:t>
      </w:r>
      <w:r w:rsidR="00A823F4" w:rsidRPr="00D52F46">
        <w:t>T</w:t>
      </w:r>
      <w:r w:rsidRPr="00D52F46">
        <w:t>h</w:t>
      </w:r>
      <w:r w:rsidR="00D52F46" w:rsidRPr="00D52F46">
        <w:t xml:space="preserve">ống nhất </w:t>
      </w:r>
      <w:r w:rsidR="00854203">
        <w:t>t</w:t>
      </w:r>
      <w:r w:rsidR="004E427C">
        <w:t>h</w:t>
      </w:r>
      <w:r w:rsidR="00F66585">
        <w:t xml:space="preserve">ông qua việc niêm yết bổ sung </w:t>
      </w:r>
      <w:r w:rsidR="00854203">
        <w:t xml:space="preserve">3.000.000 (Ba triệu) </w:t>
      </w:r>
      <w:r w:rsidR="00F66585">
        <w:t xml:space="preserve">cổ phiếu </w:t>
      </w:r>
      <w:r w:rsidR="00854203">
        <w:t>C</w:t>
      </w:r>
      <w:r w:rsidR="00F66585">
        <w:t xml:space="preserve">ông ty Cổ phần Hoàng Hà </w:t>
      </w:r>
      <w:r w:rsidR="00854203">
        <w:t>đã phát hành thành công trong đợt chào bán cổ phiếu riêng lẻ từ ngày 08/4/2015 đến ngày 14/4/2015 t</w:t>
      </w:r>
      <w:r w:rsidR="00F66585">
        <w:t>rên Sở giao dịch chứng khoán Hà Nội (</w:t>
      </w:r>
      <w:r w:rsidR="00D52F46">
        <w:t>HNX).</w:t>
      </w:r>
    </w:p>
    <w:p w:rsidR="00EA1B1F" w:rsidRDefault="00EA1B1F" w:rsidP="00563AE5">
      <w:pPr>
        <w:spacing w:before="120" w:after="120" w:line="400" w:lineRule="exact"/>
        <w:jc w:val="both"/>
      </w:pPr>
      <w:r>
        <w:t>- Loại cổ phiếu: Cổ phiếu phổ thông, hạn chế chuyển nhượng 1 năm kể từ ngày kết thúc đợt chào bán riêng lẻ (ngày 14/4/2015).</w:t>
      </w:r>
    </w:p>
    <w:p w:rsidR="00101E20" w:rsidRDefault="00101E20" w:rsidP="00563AE5">
      <w:pPr>
        <w:spacing w:before="120" w:after="120" w:line="400" w:lineRule="exact"/>
        <w:jc w:val="both"/>
      </w:pPr>
      <w:r>
        <w:t xml:space="preserve">- Thời gian dự kiến niêm yết: </w:t>
      </w:r>
      <w:r w:rsidR="00D52F46">
        <w:t xml:space="preserve">Trong Quý II/2015 sau khi nhận được chấp thuận niêm yết bổ sung của Sở giao dịch chứng khoán Hà Nội. </w:t>
      </w:r>
    </w:p>
    <w:p w:rsidR="008D2656" w:rsidRDefault="00CE085C" w:rsidP="00563AE5">
      <w:pPr>
        <w:spacing w:before="120" w:after="120" w:line="400" w:lineRule="exact"/>
        <w:jc w:val="both"/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EA1B1F">
        <w:rPr>
          <w:b/>
        </w:rPr>
        <w:t>2</w:t>
      </w:r>
      <w:r w:rsidR="008D2656">
        <w:rPr>
          <w:b/>
        </w:rPr>
        <w:t xml:space="preserve">. </w:t>
      </w:r>
      <w:r w:rsidR="001A1DDE">
        <w:t>Ngh</w:t>
      </w:r>
      <w:r w:rsidR="001A1DDE" w:rsidRPr="001A1DDE">
        <w:t>ị</w:t>
      </w:r>
      <w:r w:rsidR="001A1DDE">
        <w:t xml:space="preserve"> quy</w:t>
      </w:r>
      <w:r w:rsidR="001A1DDE" w:rsidRPr="001A1DDE">
        <w:t>ết</w:t>
      </w:r>
      <w:r w:rsidR="001A1DDE">
        <w:t xml:space="preserve"> n</w:t>
      </w:r>
      <w:r w:rsidR="001A1DDE" w:rsidRPr="001A1DDE">
        <w:t>ày</w:t>
      </w:r>
      <w:r w:rsidR="001A1DDE">
        <w:t xml:space="preserve"> c</w:t>
      </w:r>
      <w:r w:rsidR="001A1DDE" w:rsidRPr="001A1DDE">
        <w:t>ó</w:t>
      </w:r>
      <w:r w:rsidR="001A1DDE">
        <w:t xml:space="preserve"> hi</w:t>
      </w:r>
      <w:r w:rsidR="001A1DDE" w:rsidRPr="001A1DDE">
        <w:t>ệu</w:t>
      </w:r>
      <w:r w:rsidR="001A1DDE">
        <w:t xml:space="preserve"> l</w:t>
      </w:r>
      <w:r w:rsidR="001A1DDE" w:rsidRPr="001A1DDE">
        <w:t>ực</w:t>
      </w:r>
      <w:r w:rsidR="001A1DDE">
        <w:t xml:space="preserve"> k</w:t>
      </w:r>
      <w:r w:rsidR="001A1DDE" w:rsidRPr="001A1DDE">
        <w:t>ể</w:t>
      </w:r>
      <w:r w:rsidR="001A1DDE">
        <w:t xml:space="preserve"> t</w:t>
      </w:r>
      <w:r w:rsidR="001A1DDE" w:rsidRPr="001A1DDE">
        <w:t>ừ</w:t>
      </w:r>
      <w:r w:rsidR="001A1DDE">
        <w:t xml:space="preserve"> ng</w:t>
      </w:r>
      <w:r w:rsidR="001A1DDE" w:rsidRPr="001A1DDE">
        <w:t>à</w:t>
      </w:r>
      <w:r w:rsidR="001A1DDE">
        <w:t>y k</w:t>
      </w:r>
      <w:r w:rsidR="001A1DDE" w:rsidRPr="001A1DDE">
        <w:t>ý</w:t>
      </w:r>
      <w:r w:rsidR="001A1DDE">
        <w:t>.</w:t>
      </w:r>
      <w:r w:rsidR="00EA1B1F">
        <w:t xml:space="preserve"> </w:t>
      </w:r>
      <w:r w:rsidR="001A1DDE">
        <w:t>C</w:t>
      </w:r>
      <w:r w:rsidR="001A1DDE" w:rsidRPr="001A1DDE">
        <w:t>á</w:t>
      </w:r>
      <w:r w:rsidR="001A1DDE">
        <w:t>c th</w:t>
      </w:r>
      <w:r w:rsidR="001A1DDE" w:rsidRPr="001A1DDE">
        <w:t>ành</w:t>
      </w:r>
      <w:r w:rsidR="001A1DDE">
        <w:t xml:space="preserve"> vi</w:t>
      </w:r>
      <w:r w:rsidR="001A1DDE" w:rsidRPr="001A1DDE">
        <w:t>ê</w:t>
      </w:r>
      <w:r w:rsidR="001A1DDE">
        <w:t>n H</w:t>
      </w:r>
      <w:r w:rsidR="001A1DDE" w:rsidRPr="001A1DDE">
        <w:t>ộ</w:t>
      </w:r>
      <w:r w:rsidR="001A1DDE">
        <w:t xml:space="preserve">i </w:t>
      </w:r>
      <w:r w:rsidR="001A1DDE" w:rsidRPr="001A1DDE">
        <w:t>đồng</w:t>
      </w:r>
      <w:r w:rsidR="001A1DDE">
        <w:t xml:space="preserve"> Qu</w:t>
      </w:r>
      <w:r w:rsidR="001A1DDE" w:rsidRPr="001A1DDE">
        <w:t>ản</w:t>
      </w:r>
      <w:r w:rsidR="001A1DDE">
        <w:t xml:space="preserve"> tr</w:t>
      </w:r>
      <w:r w:rsidR="001A1DDE" w:rsidRPr="001A1DDE">
        <w:t>ị</w:t>
      </w:r>
      <w:r w:rsidR="001A1DDE">
        <w:t xml:space="preserve">, Ban </w:t>
      </w:r>
      <w:r w:rsidR="00122292">
        <w:t xml:space="preserve">tổng </w:t>
      </w:r>
      <w:r w:rsidR="001A1DDE">
        <w:t>gi</w:t>
      </w:r>
      <w:r w:rsidR="001A1DDE" w:rsidRPr="001A1DDE">
        <w:t>á</w:t>
      </w:r>
      <w:r w:rsidR="001A1DDE">
        <w:t xml:space="preserve">m </w:t>
      </w:r>
      <w:r w:rsidR="001A1DDE" w:rsidRPr="001A1DDE">
        <w:t>đốc</w:t>
      </w:r>
      <w:r w:rsidR="001A1DDE">
        <w:t xml:space="preserve"> v</w:t>
      </w:r>
      <w:r w:rsidR="001A1DDE" w:rsidRPr="001A1DDE">
        <w:t>à</w:t>
      </w:r>
      <w:r w:rsidR="001A1DDE">
        <w:t xml:space="preserve"> c</w:t>
      </w:r>
      <w:r w:rsidR="001A1DDE" w:rsidRPr="001A1DDE">
        <w:t>á</w:t>
      </w:r>
      <w:r w:rsidR="001A1DDE">
        <w:t>c ph</w:t>
      </w:r>
      <w:r w:rsidR="001A1DDE" w:rsidRPr="001A1DDE">
        <w:t>òng</w:t>
      </w:r>
      <w:r w:rsidR="001A1DDE">
        <w:t xml:space="preserve"> ban li</w:t>
      </w:r>
      <w:r w:rsidR="001A1DDE" w:rsidRPr="001A1DDE">
        <w:t>ê</w:t>
      </w:r>
      <w:r w:rsidR="001A1DDE">
        <w:t>n quan c</w:t>
      </w:r>
      <w:r w:rsidR="001A1DDE" w:rsidRPr="001A1DDE">
        <w:t>ó</w:t>
      </w:r>
      <w:r w:rsidR="001A1DDE">
        <w:t xml:space="preserve"> tr</w:t>
      </w:r>
      <w:r w:rsidR="001A1DDE" w:rsidRPr="001A1DDE">
        <w:t>á</w:t>
      </w:r>
      <w:r w:rsidR="001A1DDE">
        <w:t>ch nhi</w:t>
      </w:r>
      <w:r w:rsidR="001A1DDE" w:rsidRPr="001A1DDE">
        <w:t>ệm</w:t>
      </w:r>
      <w:r w:rsidR="001A1DDE">
        <w:t xml:space="preserve"> t</w:t>
      </w:r>
      <w:r w:rsidR="001A1DDE" w:rsidRPr="001A1DDE">
        <w:t>ổ</w:t>
      </w:r>
      <w:r w:rsidR="001A1DDE">
        <w:t xml:space="preserve"> ch</w:t>
      </w:r>
      <w:r w:rsidR="001A1DDE" w:rsidRPr="001A1DDE">
        <w:t>ức</w:t>
      </w:r>
      <w:r w:rsidR="001A1DDE">
        <w:t xml:space="preserve"> th</w:t>
      </w:r>
      <w:r w:rsidR="001A1DDE" w:rsidRPr="001A1DDE">
        <w:t>ự</w:t>
      </w:r>
      <w:r w:rsidR="001A1DDE">
        <w:t>c hi</w:t>
      </w:r>
      <w:r w:rsidR="001A1DDE" w:rsidRPr="001A1DDE">
        <w:t>ê</w:t>
      </w:r>
      <w:r w:rsidR="001A1DDE">
        <w:t>n Ngh</w:t>
      </w:r>
      <w:r w:rsidR="003E5280" w:rsidRPr="003E5280">
        <w:t>ị</w:t>
      </w:r>
      <w:r w:rsidR="001A1DDE">
        <w:t xml:space="preserve"> quy</w:t>
      </w:r>
      <w:r w:rsidR="001A1DDE" w:rsidRPr="001A1DDE">
        <w:t>ết</w:t>
      </w:r>
      <w:r w:rsidR="001A1DDE">
        <w:t xml:space="preserve"> n</w:t>
      </w:r>
      <w:r w:rsidR="001A1DDE" w:rsidRPr="001A1DDE">
        <w:t>ày</w:t>
      </w:r>
      <w:r w:rsidR="001A1DDE"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Chủ tịch HĐQT</w:t>
            </w:r>
          </w:p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9229E6" w:rsidRDefault="0049328B" w:rsidP="00F86BC1">
            <w:pPr>
              <w:spacing w:before="360"/>
              <w:jc w:val="center"/>
              <w:rPr>
                <w:b/>
                <w:sz w:val="48"/>
                <w:lang w:val="nl-NL"/>
              </w:rPr>
            </w:pPr>
          </w:p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9229E6">
      <w:pPr>
        <w:jc w:val="both"/>
      </w:pPr>
    </w:p>
    <w:sectPr w:rsidR="001C2B7B" w:rsidRPr="001E3408" w:rsidSect="00B027E1">
      <w:pgSz w:w="11907" w:h="16840" w:code="9"/>
      <w:pgMar w:top="900" w:right="1107" w:bottom="108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82C"/>
    <w:multiLevelType w:val="hybridMultilevel"/>
    <w:tmpl w:val="4AEA45DE"/>
    <w:lvl w:ilvl="0" w:tplc="BC0240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5A1725"/>
    <w:rsid w:val="00063D60"/>
    <w:rsid w:val="00093071"/>
    <w:rsid w:val="000B2B6E"/>
    <w:rsid w:val="000D2BFD"/>
    <w:rsid w:val="000F4182"/>
    <w:rsid w:val="00101E20"/>
    <w:rsid w:val="00122292"/>
    <w:rsid w:val="00141234"/>
    <w:rsid w:val="001468CB"/>
    <w:rsid w:val="00163E90"/>
    <w:rsid w:val="00196EA8"/>
    <w:rsid w:val="001A1DDE"/>
    <w:rsid w:val="001B3416"/>
    <w:rsid w:val="001C2B7B"/>
    <w:rsid w:val="001C35D7"/>
    <w:rsid w:val="001E3408"/>
    <w:rsid w:val="001E7804"/>
    <w:rsid w:val="0022442F"/>
    <w:rsid w:val="00251726"/>
    <w:rsid w:val="0026533B"/>
    <w:rsid w:val="0028714D"/>
    <w:rsid w:val="002B4EB8"/>
    <w:rsid w:val="002D5E17"/>
    <w:rsid w:val="002F5E5D"/>
    <w:rsid w:val="00300CE0"/>
    <w:rsid w:val="003074B5"/>
    <w:rsid w:val="00321122"/>
    <w:rsid w:val="00334468"/>
    <w:rsid w:val="00341155"/>
    <w:rsid w:val="003641D8"/>
    <w:rsid w:val="003717C0"/>
    <w:rsid w:val="003E5280"/>
    <w:rsid w:val="003F723B"/>
    <w:rsid w:val="00420B85"/>
    <w:rsid w:val="00433112"/>
    <w:rsid w:val="00433883"/>
    <w:rsid w:val="00436CE6"/>
    <w:rsid w:val="004451BE"/>
    <w:rsid w:val="00483E91"/>
    <w:rsid w:val="0049328B"/>
    <w:rsid w:val="004C264F"/>
    <w:rsid w:val="004E427C"/>
    <w:rsid w:val="004E5C28"/>
    <w:rsid w:val="004F2CCF"/>
    <w:rsid w:val="00505700"/>
    <w:rsid w:val="00514BAE"/>
    <w:rsid w:val="00545459"/>
    <w:rsid w:val="00563AE5"/>
    <w:rsid w:val="005723F3"/>
    <w:rsid w:val="00584FCE"/>
    <w:rsid w:val="00593A5F"/>
    <w:rsid w:val="005A1725"/>
    <w:rsid w:val="005B1DCC"/>
    <w:rsid w:val="005C2721"/>
    <w:rsid w:val="006B36FB"/>
    <w:rsid w:val="006C44D9"/>
    <w:rsid w:val="006E2F64"/>
    <w:rsid w:val="007167FA"/>
    <w:rsid w:val="00723D5B"/>
    <w:rsid w:val="00735F6F"/>
    <w:rsid w:val="00756B18"/>
    <w:rsid w:val="00773B5B"/>
    <w:rsid w:val="007A4547"/>
    <w:rsid w:val="007C04B2"/>
    <w:rsid w:val="007E4BFA"/>
    <w:rsid w:val="007F148C"/>
    <w:rsid w:val="00806197"/>
    <w:rsid w:val="00854203"/>
    <w:rsid w:val="008D2656"/>
    <w:rsid w:val="008F1596"/>
    <w:rsid w:val="008F33CD"/>
    <w:rsid w:val="009229E6"/>
    <w:rsid w:val="0092340E"/>
    <w:rsid w:val="00943FC4"/>
    <w:rsid w:val="009472CB"/>
    <w:rsid w:val="00961C90"/>
    <w:rsid w:val="00982379"/>
    <w:rsid w:val="009A5DC9"/>
    <w:rsid w:val="009C5D80"/>
    <w:rsid w:val="009F6054"/>
    <w:rsid w:val="00A337F1"/>
    <w:rsid w:val="00A823F4"/>
    <w:rsid w:val="00A8351B"/>
    <w:rsid w:val="00AC70AD"/>
    <w:rsid w:val="00B027E1"/>
    <w:rsid w:val="00B650DD"/>
    <w:rsid w:val="00C12F6C"/>
    <w:rsid w:val="00C324E5"/>
    <w:rsid w:val="00CE085C"/>
    <w:rsid w:val="00CE48CB"/>
    <w:rsid w:val="00CF57F8"/>
    <w:rsid w:val="00D10EE8"/>
    <w:rsid w:val="00D45618"/>
    <w:rsid w:val="00D52F46"/>
    <w:rsid w:val="00D55586"/>
    <w:rsid w:val="00DA25B9"/>
    <w:rsid w:val="00DA64BA"/>
    <w:rsid w:val="00DF70E1"/>
    <w:rsid w:val="00E15F7F"/>
    <w:rsid w:val="00E42ACA"/>
    <w:rsid w:val="00E86E5E"/>
    <w:rsid w:val="00EA1B1F"/>
    <w:rsid w:val="00EA37F3"/>
    <w:rsid w:val="00EB0F04"/>
    <w:rsid w:val="00EB2B73"/>
    <w:rsid w:val="00EB6841"/>
    <w:rsid w:val="00F07160"/>
    <w:rsid w:val="00F66585"/>
    <w:rsid w:val="00F86BC1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61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585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U9bNK6XGdbhPZEbYmQDOX8shJDM=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L2kTZBOBJtJ7vIxJy/Ti7IqwrrIQJ66Uq/8u1Aw0GHx4qXCdPJYIr1ACXn8L+4iopkV7OrdH
    uEmD/+HZF4lroDBhm43OvTYgyLYvlYfkdpKvbJItMatsxWZwe2BBzDFtj9NHTJ01uIH5d0dT
    UISyvC8F9lAECixXOE+s6gRE7yo=
  </SignatureValue>
  <KeyInfo>
    <KeyValue>
      <RSAKeyValue>
        <Modulus>
            wxDFckjbJJXOIxSs+xt129DeSCugqTjajO4JGA6VkJMsg47RhdGniFvf2CVoNJ9jMkKbuUe4
            cwRM2k2+62D2T7VR8aJJOARUaEjljXweAlKb5IXY1tFNnyKEqfSUvvF9oJ4YS0d7i2EEPIuj
            gUUGdNwZjd7mQeFPoG3/Hjb62kc=
          </Modulus>
        <Exponent>AQAB</Exponent>
      </RSAKeyValue>
    </KeyValue>
    <X509Data>
      <X509Certificate>
          MIIBtjCCAR+gAwIBAgIQeUlo7P+07aZINLaqxARSYjANBgkqhkiG9w0BAQUFADARMQ8wDQYD
          VQQDEwZzaW5obHYwHhcNMTUwNTE0MDg0NDMyWhcNMTYwNTEzMTQ0NDMyWjARMQ8wDQYDVQQD
          EwZzaW5obHYwgZ8wDQYJKoZIhvcNAQEBBQADgY0AMIGJAoGBAMMQxXJI2ySVziMUrPsbddvQ
          3kgroKk42ozuCRgOlZCTLIOO0YXRp4hb39glaDSfYzJCm7lHuHMETNpNvutg9k+1UfGiSTgE
          VGhI5Y18HgJSm+SF2NbRTZ8ihKn0lL7xfaCeGEtHe4thBDyLo4FFBnTcGY3e5kHhT6Bt/x42
          +tpHAgMBAAGjDzANMAsGA1UdDwQEAwIGwDANBgkqhkiG9w0BAQUFAAOBgQAX+bR7xzVs1Z8v
          NdVJ3eWvinp40MC8xm7y/837Us7F8QFKLH+/+GeA167wXF2ty4PTMOUj8M1a6duC6hdYkXyv
          fIboKrHgyfBaV62Nk1rBzncEU0M295vjzcQrwADk91Y/PV0K0Ya18IR7IB27lBaI/8kfiB3X
          mQ+R6/ytFjvPnQ==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OOAKj6F/XkwR+F1O16xSEKGWHpI=</DigestValue>
      </Reference>
      <Reference URI="/word/fontTable.xml?ContentType=application/vnd.openxmlformats-officedocument.wordprocessingml.fontTable+xml">
        <DigestMethod Algorithm="http://www.w3.org/2000/09/xmldsig#sha1"/>
        <DigestValue>+keZtJs27FHuEfhu6zDT8kXRdPI=</DigestValue>
      </Reference>
      <Reference URI="/word/numbering.xml?ContentType=application/vnd.openxmlformats-officedocument.wordprocessingml.numbering+xml">
        <DigestMethod Algorithm="http://www.w3.org/2000/09/xmldsig#sha1"/>
        <DigestValue>bOEZ/pdp22r5t3/kgYIfPXNv2uY=</DigestValue>
      </Reference>
      <Reference URI="/word/settings.xml?ContentType=application/vnd.openxmlformats-officedocument.wordprocessingml.settings+xml">
        <DigestMethod Algorithm="http://www.w3.org/2000/09/xmldsig#sha1"/>
        <DigestValue>X5O7SgKkNEJ/btznrSy0gb7zPQE=</DigestValue>
      </Reference>
      <Reference URI="/word/styles.xml?ContentType=application/vnd.openxmlformats-officedocument.wordprocessingml.styles+xml">
        <DigestMethod Algorithm="http://www.w3.org/2000/09/xmldsig#sha1"/>
        <DigestValue>1DteV3NvdrCkJrJWw306P21BBk0=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2015-06-03T02:35:32Z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sinhlv</cp:lastModifiedBy>
  <cp:revision>4</cp:revision>
  <cp:lastPrinted>2011-03-08T08:24:00Z</cp:lastPrinted>
  <dcterms:created xsi:type="dcterms:W3CDTF">2015-06-02T02:38:00Z</dcterms:created>
  <dcterms:modified xsi:type="dcterms:W3CDTF">2015-06-02T02:52:00Z</dcterms:modified>
</cp:coreProperties>
</file>